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2024-07-02</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winters,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 Follett</w:t>
      </w:r>
      <w:r>
        <w:t xml:space="preserve"> </w:t>
      </w:r>
      <w:r>
        <w:rPr>
          <w:iCs/>
          <w:i/>
        </w:rPr>
        <w:t xml:space="preserve">et al</w:t>
      </w:r>
      <w:r>
        <w:t xml:space="preserve">.</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packages</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7 to 14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no growth under any imposed conditions under a 4 h photoperiod and the growth rate increased with higher imposed PAR and longer photoperiods (Fig</w:t>
      </w:r>
      <w:r>
        <w:t xml:space="preserve"> </w:t>
      </w:r>
      <w:r>
        <w:t xml:space="preserve">3</w:t>
      </w:r>
      <w:r>
        <w:t xml:space="preserve">A).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12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A).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deeper regions,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A).</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and growth inhibition across all photoperiods under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A).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A).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Growth rate patterns</w:t>
      </w:r>
      <w:r>
        <w:t xml:space="preserve"> </w:t>
      </w:r>
      <w:r>
        <w:t xml:space="preserve">under red light and 250 µM O</w:t>
      </w:r>
      <w:r>
        <w:rPr>
          <w:vertAlign w:val="subscript"/>
        </w:rPr>
        <w:t xml:space="preserve">2</w:t>
      </w:r>
      <w:r>
        <w:t xml:space="preserve">were similar, although somewhat faster. The disjunct regions of the GAM plot results from variable growth success of SS120 under 250 µM O</w:t>
      </w:r>
      <w:r>
        <w:rPr>
          <w:vertAlign w:val="subscript"/>
        </w:rPr>
        <w:t xml:space="preserve">2</w:t>
      </w:r>
      <w:r>
        <w:t xml:space="preserve">.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of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3.0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 marinus</w:t>
      </w:r>
      <w:r>
        <w:t xml:space="preserve"> </w:t>
      </w:r>
      <w:r>
        <w:t xml:space="preserve">study strains (Fig</w:t>
      </w:r>
      <w:r>
        <w:t xml:space="preserve"> </w:t>
      </w:r>
      <w:r>
        <w:t xml:space="preserve">9</w:t>
      </w:r>
      <w:r>
        <w:t xml:space="preserve">).</w:t>
      </w:r>
    </w:p>
    <w:p>
      <w:pPr>
        <w:pStyle w:val="BodyText"/>
      </w:pPr>
      <w:r>
        <w:rPr>
          <w:iCs/>
          <w:i/>
        </w:rPr>
        <w:t xml:space="preserve">Prochlorococcus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Prochlorococcus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deeper regions.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5349240"/>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hypothetical Full Oxygen Zones (250 µM O2) are indicated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Oxygen Minimum Zones (25 µM O2,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hypothetical Full Oxygen Zones (250 µM O</w:t>
      </w:r>
      <w:r>
        <w:rPr>
          <w:vertAlign w:val="subscript"/>
        </w:rPr>
        <w:t xml:space="preserve">2</w:t>
      </w:r>
      <w:r>
        <w:t xml:space="preserve">) are indicated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Oxygen Minimum Zones (25 µM O</w:t>
      </w:r>
      <w:r>
        <w:rPr>
          <w:vertAlign w:val="subscript"/>
        </w:rPr>
        <w:t xml:space="preserve">2</w:t>
      </w:r>
      <w:r>
        <w:t xml:space="preserve">,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winters</w:t>
      </w:r>
      <w:r>
        <w:t xml:space="preserve"> </w:t>
      </w:r>
      <w:r>
        <w:t xml:space="preserve">at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Competition among clades will be driven not simply by light levels, but by their differing capacities to tolerate and exploit combinations of photoperiods, light levels, and [O</w:t>
      </w:r>
      <w:r>
        <w:rPr>
          <w:vertAlign w:val="subscript"/>
        </w:rPr>
        <w:t xml:space="preserve">2</w:t>
      </w:r>
      <w:r>
        <w:t xml:space="preserve">]. Clade HLI (including MED4) is excluded from short photoperiod regimes, typical of temperate winters at light attenuated depths. In contrast, clade LLIV (including MIT9313) may exploit higher light niches under expanding OMZ conditions, where low O</w:t>
      </w:r>
      <w:r>
        <w:rPr>
          <w:vertAlign w:val="subscript"/>
        </w:rPr>
        <w:t xml:space="preserve">2</w:t>
      </w:r>
      <w:r>
        <w:t xml:space="preserve"> </w:t>
      </w:r>
      <w:r>
        <w:t xml:space="preserve">relieves the stresses of oxidative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rochlorococcus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Prochlorococcus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5" w:name="data-availability"/>
    <w:p>
      <w:pPr>
        <w:pStyle w:val="Heading1"/>
      </w:pPr>
      <w:r>
        <w:t xml:space="preserve">Data availability</w:t>
      </w:r>
    </w:p>
    <w:p>
      <w:pPr>
        <w:pStyle w:val="FirstParagraph"/>
      </w:pPr>
      <w:r>
        <w:t xml:space="preserve">All data and annotated code for data import, transformations and analyses are available on the figshare data repository (DOI: 10.6084/m9.figshare.25959061).</w:t>
      </w:r>
    </w:p>
    <w:p>
      <w:pPr>
        <w:pStyle w:val="BodyText"/>
      </w:pPr>
      <w:r>
        <w:t xml:space="preserve">All data and annotated code are also available at</w:t>
      </w:r>
      <w:r>
        <w:t xml:space="preserve"> </w:t>
      </w:r>
      <w:hyperlink r:id="rId274">
        <w:r>
          <w:rPr>
            <w:rStyle w:val="Hyperlink"/>
          </w:rPr>
          <w:t xml:space="preserve">https://github.com/FundyPhytoPhys/prochlorococcus_o2</w:t>
        </w:r>
      </w:hyperlink>
    </w:p>
    <w:bookmarkEnd w:id="275"/>
    <w:bookmarkStart w:id="276"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6"/>
    <w:bookmarkStart w:id="277"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7"/>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2024-07-02T19:15:02Z</dcterms:created>
  <dcterms:modified xsi:type="dcterms:W3CDTF">2024-07-02T19:15:02Z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2024-07-02</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